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8F7B" w14:textId="77777777" w:rsidR="000112D7" w:rsidRDefault="00771A80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进修须知</w:t>
      </w:r>
    </w:p>
    <w:p w14:paraId="58E42A23" w14:textId="77777777" w:rsidR="000112D7" w:rsidRDefault="000112D7">
      <w:pPr>
        <w:spacing w:line="360" w:lineRule="exact"/>
        <w:jc w:val="center"/>
        <w:rPr>
          <w:rFonts w:ascii="微软雅黑" w:eastAsia="微软雅黑" w:hAnsi="微软雅黑"/>
          <w:sz w:val="24"/>
        </w:rPr>
      </w:pPr>
    </w:p>
    <w:p w14:paraId="4431735B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来院进修人员须服从医院全局工作特别是临床工作需要，遵守我院各项院纪院规，</w:t>
      </w:r>
      <w:proofErr w:type="gramStart"/>
      <w:r>
        <w:rPr>
          <w:rFonts w:ascii="微软雅黑" w:eastAsia="微软雅黑" w:hAnsi="微软雅黑" w:cs="宋体" w:hint="eastAsia"/>
          <w:kern w:val="0"/>
          <w:sz w:val="22"/>
          <w:szCs w:val="22"/>
        </w:rPr>
        <w:t>不</w:t>
      </w:r>
      <w:proofErr w:type="gramEnd"/>
      <w:r>
        <w:rPr>
          <w:rFonts w:ascii="微软雅黑" w:eastAsia="微软雅黑" w:hAnsi="微软雅黑" w:cs="宋体" w:hint="eastAsia"/>
          <w:kern w:val="0"/>
          <w:sz w:val="22"/>
          <w:szCs w:val="22"/>
        </w:rPr>
        <w:t>无故迟到早退，不得擅自离岗或缺勤。</w:t>
      </w:r>
    </w:p>
    <w:p w14:paraId="38234074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严格按照医疗常规操作，确保医疗安全，防止各种医疗差错和事故发生。</w:t>
      </w:r>
    </w:p>
    <w:p w14:paraId="3B6C662D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进修人员无论级别高低，均须服从医院及科室分配有关规定，服从指导老师的行政管理和业务指导。</w:t>
      </w:r>
    </w:p>
    <w:p w14:paraId="4898A37D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原则上进修医生在指导老师指导下工作，若进修医生不请示指导老师，擅自处置病人，一切后果由进修医生本人负责。</w:t>
      </w:r>
    </w:p>
    <w:p w14:paraId="22C4D5C4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凡进修医生在医疗活动中发生医德医风问题、发生四防安全事故或触犯反商业贿赂等有关规定的，一切后果由进修医生本人和原单位负责，并退回原单位。</w:t>
      </w:r>
    </w:p>
    <w:p w14:paraId="7449947F" w14:textId="77777777" w:rsidR="000112D7" w:rsidRDefault="00771A8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进修医生不得自行调换进修科目，不得中途退学，不得随意改变进修时间。进修期间无特殊情况不安排探亲假。</w:t>
      </w:r>
    </w:p>
    <w:p w14:paraId="45D2B33D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在进修期间如有工作上或生活上的困难和问题，应及时向科主任或医务处报备，以便及时妥善处理，否则后果自负。</w:t>
      </w:r>
    </w:p>
    <w:p w14:paraId="0E392281" w14:textId="77777777" w:rsidR="0042467B" w:rsidRDefault="0042467B" w:rsidP="0042467B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进修结束前一至两周内填写《进修人员结业表》，做好自我鉴定，并在规定离院日期当天办理离院手续，擅自提前，不予办理。</w:t>
      </w:r>
    </w:p>
    <w:p w14:paraId="0BF6BA44" w14:textId="034D00D8" w:rsidR="0042467B" w:rsidRDefault="00111F34" w:rsidP="0042467B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原则上对疾病状态或</w:t>
      </w:r>
      <w:r w:rsidR="00B21720">
        <w:rPr>
          <w:rFonts w:ascii="微软雅黑" w:eastAsia="微软雅黑" w:hAnsi="微软雅黑" w:cs="宋体" w:hint="eastAsia"/>
          <w:kern w:val="0"/>
          <w:sz w:val="22"/>
          <w:szCs w:val="22"/>
        </w:rPr>
        <w:t>怀孕状态的</w:t>
      </w:r>
      <w:r w:rsidR="00544D4E">
        <w:rPr>
          <w:rFonts w:ascii="微软雅黑" w:eastAsia="微软雅黑" w:hAnsi="微软雅黑" w:cs="宋体" w:hint="eastAsia"/>
          <w:kern w:val="0"/>
          <w:sz w:val="22"/>
          <w:szCs w:val="22"/>
        </w:rPr>
        <w:t>可能影响工作的</w:t>
      </w:r>
      <w:r w:rsidR="00B21720">
        <w:rPr>
          <w:rFonts w:ascii="微软雅黑" w:eastAsia="微软雅黑" w:hAnsi="微软雅黑" w:cs="宋体" w:hint="eastAsia"/>
          <w:kern w:val="0"/>
          <w:sz w:val="22"/>
          <w:szCs w:val="22"/>
        </w:rPr>
        <w:t>进修人员</w:t>
      </w:r>
      <w:r>
        <w:rPr>
          <w:rFonts w:ascii="微软雅黑" w:eastAsia="微软雅黑" w:hAnsi="微软雅黑" w:cs="宋体" w:hint="eastAsia"/>
          <w:kern w:val="0"/>
          <w:sz w:val="22"/>
          <w:szCs w:val="22"/>
        </w:rPr>
        <w:t>不</w:t>
      </w:r>
      <w:r w:rsidR="00544D4E">
        <w:rPr>
          <w:rFonts w:ascii="微软雅黑" w:eastAsia="微软雅黑" w:hAnsi="微软雅黑" w:cs="宋体" w:hint="eastAsia"/>
          <w:kern w:val="0"/>
          <w:sz w:val="22"/>
          <w:szCs w:val="22"/>
        </w:rPr>
        <w:t>予</w:t>
      </w:r>
      <w:r>
        <w:rPr>
          <w:rFonts w:ascii="微软雅黑" w:eastAsia="微软雅黑" w:hAnsi="微软雅黑" w:cs="宋体" w:hint="eastAsia"/>
          <w:kern w:val="0"/>
          <w:sz w:val="22"/>
          <w:szCs w:val="22"/>
        </w:rPr>
        <w:t>接收</w:t>
      </w:r>
      <w:r w:rsidR="00B21720">
        <w:rPr>
          <w:rFonts w:ascii="微软雅黑" w:eastAsia="微软雅黑" w:hAnsi="微软雅黑" w:cs="宋体" w:hint="eastAsia"/>
          <w:kern w:val="0"/>
          <w:sz w:val="22"/>
          <w:szCs w:val="22"/>
        </w:rPr>
        <w:t>，</w:t>
      </w:r>
      <w:r w:rsidR="001964B0">
        <w:rPr>
          <w:rFonts w:ascii="微软雅黑" w:eastAsia="微软雅黑" w:hAnsi="微软雅黑" w:cs="宋体" w:hint="eastAsia"/>
          <w:kern w:val="0"/>
          <w:sz w:val="22"/>
          <w:szCs w:val="22"/>
        </w:rPr>
        <w:t>如</w:t>
      </w:r>
      <w:r w:rsidR="00544D4E">
        <w:rPr>
          <w:rFonts w:ascii="微软雅黑" w:eastAsia="微软雅黑" w:hAnsi="微软雅黑" w:cs="宋体" w:hint="eastAsia"/>
          <w:kern w:val="0"/>
          <w:sz w:val="22"/>
          <w:szCs w:val="22"/>
        </w:rPr>
        <w:t>进修</w:t>
      </w:r>
      <w:r w:rsidR="001964B0">
        <w:rPr>
          <w:rFonts w:ascii="微软雅黑" w:eastAsia="微软雅黑" w:hAnsi="微软雅黑" w:cs="宋体" w:hint="eastAsia"/>
          <w:kern w:val="0"/>
          <w:sz w:val="22"/>
          <w:szCs w:val="22"/>
        </w:rPr>
        <w:t>人员</w:t>
      </w:r>
      <w:r w:rsidR="00B12222">
        <w:rPr>
          <w:rFonts w:ascii="微软雅黑" w:eastAsia="微软雅黑" w:hAnsi="微软雅黑" w:cs="宋体" w:hint="eastAsia"/>
          <w:kern w:val="0"/>
          <w:sz w:val="22"/>
          <w:szCs w:val="22"/>
        </w:rPr>
        <w:t>刻意隐瞒</w:t>
      </w:r>
      <w:r w:rsidR="001964B0">
        <w:rPr>
          <w:rFonts w:ascii="微软雅黑" w:eastAsia="微软雅黑" w:hAnsi="微软雅黑" w:cs="宋体" w:hint="eastAsia"/>
          <w:kern w:val="0"/>
          <w:sz w:val="22"/>
          <w:szCs w:val="22"/>
        </w:rPr>
        <w:t>或派出单位</w:t>
      </w:r>
      <w:r w:rsidR="00B12222">
        <w:rPr>
          <w:rFonts w:ascii="微软雅黑" w:eastAsia="微软雅黑" w:hAnsi="微软雅黑" w:cs="宋体" w:hint="eastAsia"/>
          <w:kern w:val="0"/>
          <w:sz w:val="22"/>
          <w:szCs w:val="22"/>
        </w:rPr>
        <w:t>未</w:t>
      </w:r>
      <w:proofErr w:type="gramStart"/>
      <w:r w:rsidR="00B12222">
        <w:rPr>
          <w:rFonts w:ascii="微软雅黑" w:eastAsia="微软雅黑" w:hAnsi="微软雅黑" w:cs="宋体" w:hint="eastAsia"/>
          <w:kern w:val="0"/>
          <w:sz w:val="22"/>
          <w:szCs w:val="22"/>
        </w:rPr>
        <w:t>予审</w:t>
      </w:r>
      <w:proofErr w:type="gramEnd"/>
      <w:r w:rsidR="00B12222">
        <w:rPr>
          <w:rFonts w:ascii="微软雅黑" w:eastAsia="微软雅黑" w:hAnsi="微软雅黑" w:cs="宋体" w:hint="eastAsia"/>
          <w:kern w:val="0"/>
          <w:sz w:val="22"/>
          <w:szCs w:val="22"/>
        </w:rPr>
        <w:t>核</w:t>
      </w:r>
      <w:r w:rsidR="00B21720">
        <w:rPr>
          <w:rFonts w:ascii="微软雅黑" w:eastAsia="微软雅黑" w:hAnsi="微软雅黑" w:cs="宋体" w:hint="eastAsia"/>
          <w:kern w:val="0"/>
          <w:sz w:val="22"/>
          <w:szCs w:val="22"/>
        </w:rPr>
        <w:t>，</w:t>
      </w:r>
      <w:r w:rsidR="00B12222">
        <w:rPr>
          <w:rFonts w:ascii="微软雅黑" w:eastAsia="微软雅黑" w:hAnsi="微软雅黑" w:cs="宋体" w:hint="eastAsia"/>
          <w:kern w:val="0"/>
          <w:sz w:val="22"/>
          <w:szCs w:val="22"/>
        </w:rPr>
        <w:t>造成</w:t>
      </w:r>
      <w:r w:rsidR="00B21720">
        <w:rPr>
          <w:rFonts w:ascii="微软雅黑" w:eastAsia="微软雅黑" w:hAnsi="微软雅黑" w:cs="宋体" w:hint="eastAsia"/>
          <w:kern w:val="0"/>
          <w:sz w:val="22"/>
          <w:szCs w:val="22"/>
        </w:rPr>
        <w:t>一切后果自负。</w:t>
      </w:r>
    </w:p>
    <w:p w14:paraId="4E22DB7A" w14:textId="23271B94" w:rsidR="00111F34" w:rsidRPr="0042467B" w:rsidRDefault="0042467B" w:rsidP="0042467B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 w:rsidRPr="0042467B">
        <w:rPr>
          <w:rFonts w:ascii="微软雅黑" w:eastAsia="微软雅黑" w:hAnsi="微软雅黑" w:cs="宋体" w:hint="eastAsia"/>
          <w:kern w:val="0"/>
          <w:sz w:val="22"/>
          <w:szCs w:val="22"/>
        </w:rPr>
        <w:t>住宿原则上不提供，如有特别情况，请提前一个月向我院提出申请。</w:t>
      </w:r>
    </w:p>
    <w:p w14:paraId="11C73D60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 xml:space="preserve">进修费标准：    </w:t>
      </w:r>
    </w:p>
    <w:tbl>
      <w:tblPr>
        <w:tblStyle w:val="a7"/>
        <w:tblpPr w:leftFromText="180" w:rightFromText="180" w:vertAnchor="text" w:horzAnchor="page" w:tblpX="1751" w:tblpY="154"/>
        <w:tblOverlap w:val="never"/>
        <w:tblW w:w="8617" w:type="dxa"/>
        <w:tblLook w:val="04A0" w:firstRow="1" w:lastRow="0" w:firstColumn="1" w:lastColumn="0" w:noHBand="0" w:noVBand="1"/>
      </w:tblPr>
      <w:tblGrid>
        <w:gridCol w:w="2177"/>
        <w:gridCol w:w="1696"/>
        <w:gridCol w:w="1517"/>
        <w:gridCol w:w="1657"/>
        <w:gridCol w:w="1570"/>
      </w:tblGrid>
      <w:tr w:rsidR="000112D7" w14:paraId="6ABC2FE5" w14:textId="77777777">
        <w:trPr>
          <w:trHeight w:val="340"/>
        </w:trPr>
        <w:tc>
          <w:tcPr>
            <w:tcW w:w="2177" w:type="dxa"/>
            <w:vAlign w:val="center"/>
          </w:tcPr>
          <w:p w14:paraId="238A4E1D" w14:textId="77777777" w:rsidR="000112D7" w:rsidRDefault="000112D7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BE377E5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一个季度</w:t>
            </w:r>
          </w:p>
        </w:tc>
        <w:tc>
          <w:tcPr>
            <w:tcW w:w="1517" w:type="dxa"/>
            <w:vAlign w:val="center"/>
          </w:tcPr>
          <w:p w14:paraId="307B3900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二个季度</w:t>
            </w:r>
          </w:p>
        </w:tc>
        <w:tc>
          <w:tcPr>
            <w:tcW w:w="1657" w:type="dxa"/>
            <w:vAlign w:val="center"/>
          </w:tcPr>
          <w:p w14:paraId="0246804F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三个季度</w:t>
            </w:r>
          </w:p>
        </w:tc>
        <w:tc>
          <w:tcPr>
            <w:tcW w:w="1570" w:type="dxa"/>
            <w:vAlign w:val="center"/>
          </w:tcPr>
          <w:p w14:paraId="65B4F8DD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全年</w:t>
            </w:r>
          </w:p>
        </w:tc>
      </w:tr>
      <w:tr w:rsidR="000112D7" w14:paraId="72EB1936" w14:textId="77777777">
        <w:trPr>
          <w:trHeight w:val="340"/>
        </w:trPr>
        <w:tc>
          <w:tcPr>
            <w:tcW w:w="2177" w:type="dxa"/>
            <w:vAlign w:val="center"/>
          </w:tcPr>
          <w:p w14:paraId="50864D77" w14:textId="2856D24F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 w:rsidRPr="00FF13A3">
              <w:rPr>
                <w:rFonts w:ascii="微软雅黑" w:eastAsia="微软雅黑" w:hAnsi="微软雅黑" w:cs="微软雅黑" w:hint="eastAsia"/>
                <w:b w:val="0"/>
                <w:sz w:val="18"/>
                <w:szCs w:val="18"/>
              </w:rPr>
              <w:t>内系</w:t>
            </w:r>
            <w:r w:rsidR="00FF13A3" w:rsidRPr="00FF13A3">
              <w:rPr>
                <w:rFonts w:ascii="微软雅黑" w:eastAsia="微软雅黑" w:hAnsi="微软雅黑" w:cs="微软雅黑" w:hint="eastAsia"/>
                <w:b w:val="0"/>
                <w:sz w:val="18"/>
                <w:szCs w:val="18"/>
              </w:rPr>
              <w:t>、</w:t>
            </w:r>
            <w:r w:rsidRPr="00FF13A3">
              <w:rPr>
                <w:rFonts w:ascii="微软雅黑" w:eastAsia="微软雅黑" w:hAnsi="微软雅黑" w:cs="微软雅黑" w:hint="eastAsia"/>
                <w:b w:val="0"/>
                <w:sz w:val="18"/>
                <w:szCs w:val="18"/>
              </w:rPr>
              <w:t>医技</w:t>
            </w:r>
            <w:r w:rsidR="00FF13A3" w:rsidRPr="00FF13A3">
              <w:rPr>
                <w:rFonts w:ascii="微软雅黑" w:eastAsia="微软雅黑" w:hAnsi="微软雅黑" w:cs="微软雅黑" w:hint="eastAsia"/>
                <w:b w:val="0"/>
                <w:sz w:val="18"/>
                <w:szCs w:val="18"/>
              </w:rPr>
              <w:t>及管理部门</w:t>
            </w:r>
          </w:p>
        </w:tc>
        <w:tc>
          <w:tcPr>
            <w:tcW w:w="1696" w:type="dxa"/>
            <w:vAlign w:val="center"/>
          </w:tcPr>
          <w:p w14:paraId="4B56AFF0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3000元/每人</w:t>
            </w:r>
          </w:p>
        </w:tc>
        <w:tc>
          <w:tcPr>
            <w:tcW w:w="1517" w:type="dxa"/>
            <w:vAlign w:val="center"/>
          </w:tcPr>
          <w:p w14:paraId="57A85EA1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6000元/每人</w:t>
            </w:r>
          </w:p>
        </w:tc>
        <w:tc>
          <w:tcPr>
            <w:tcW w:w="1657" w:type="dxa"/>
            <w:vAlign w:val="center"/>
          </w:tcPr>
          <w:p w14:paraId="71433B86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9000元/每人</w:t>
            </w:r>
          </w:p>
        </w:tc>
        <w:tc>
          <w:tcPr>
            <w:tcW w:w="1570" w:type="dxa"/>
            <w:vAlign w:val="center"/>
          </w:tcPr>
          <w:p w14:paraId="3B4F793E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12000元/每人</w:t>
            </w:r>
          </w:p>
        </w:tc>
      </w:tr>
      <w:tr w:rsidR="000112D7" w14:paraId="3FFE0A51" w14:textId="77777777">
        <w:trPr>
          <w:trHeight w:val="522"/>
        </w:trPr>
        <w:tc>
          <w:tcPr>
            <w:tcW w:w="2177" w:type="dxa"/>
            <w:vAlign w:val="center"/>
          </w:tcPr>
          <w:p w14:paraId="403316B7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外</w:t>
            </w:r>
            <w:r>
              <w:rPr>
                <w:rFonts w:ascii="微软雅黑" w:eastAsia="微软雅黑" w:hAnsi="微软雅黑" w:cs="微软雅黑" w:hint="eastAsia"/>
                <w:b w:val="0"/>
                <w:bCs w:val="0"/>
                <w:sz w:val="20"/>
                <w:szCs w:val="20"/>
              </w:rPr>
              <w:t>系科室（包括：心血管内科、神经内科（肉毒素治疗）、皮肤科）</w:t>
            </w:r>
          </w:p>
        </w:tc>
        <w:tc>
          <w:tcPr>
            <w:tcW w:w="1696" w:type="dxa"/>
            <w:vAlign w:val="center"/>
          </w:tcPr>
          <w:p w14:paraId="02FB4C1E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4000元/每人</w:t>
            </w:r>
          </w:p>
        </w:tc>
        <w:tc>
          <w:tcPr>
            <w:tcW w:w="1517" w:type="dxa"/>
            <w:vAlign w:val="center"/>
          </w:tcPr>
          <w:p w14:paraId="7DA3C202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8000元/每人</w:t>
            </w:r>
          </w:p>
        </w:tc>
        <w:tc>
          <w:tcPr>
            <w:tcW w:w="1657" w:type="dxa"/>
            <w:vAlign w:val="center"/>
          </w:tcPr>
          <w:p w14:paraId="0E56BFE4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12000元/每人</w:t>
            </w:r>
          </w:p>
        </w:tc>
        <w:tc>
          <w:tcPr>
            <w:tcW w:w="1570" w:type="dxa"/>
            <w:vAlign w:val="center"/>
          </w:tcPr>
          <w:p w14:paraId="310C4D4B" w14:textId="77777777" w:rsidR="000112D7" w:rsidRDefault="00771A80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16000元/每人</w:t>
            </w:r>
          </w:p>
        </w:tc>
      </w:tr>
      <w:tr w:rsidR="007D6BFF" w14:paraId="36E4AE80" w14:textId="77777777" w:rsidTr="00BE62F1">
        <w:trPr>
          <w:trHeight w:val="434"/>
        </w:trPr>
        <w:tc>
          <w:tcPr>
            <w:tcW w:w="2177" w:type="dxa"/>
            <w:vAlign w:val="center"/>
          </w:tcPr>
          <w:p w14:paraId="0FDE97A0" w14:textId="77777777" w:rsidR="007D6BFF" w:rsidRDefault="007D6BF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整形美容外科</w:t>
            </w:r>
          </w:p>
        </w:tc>
        <w:tc>
          <w:tcPr>
            <w:tcW w:w="3213" w:type="dxa"/>
            <w:gridSpan w:val="2"/>
            <w:vAlign w:val="center"/>
          </w:tcPr>
          <w:p w14:paraId="5EE29C6A" w14:textId="4A3E3B11" w:rsidR="007D6BFF" w:rsidRDefault="007D6BFF" w:rsidP="007D6BF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 w:rsidRPr="00FF13A3">
              <w:rPr>
                <w:rFonts w:ascii="微软雅黑" w:eastAsia="微软雅黑" w:hAnsi="微软雅黑" w:cs="微软雅黑" w:hint="eastAsia"/>
                <w:b w:val="0"/>
                <w:sz w:val="18"/>
                <w:szCs w:val="18"/>
              </w:rPr>
              <w:t>10000元/每人</w:t>
            </w:r>
          </w:p>
        </w:tc>
        <w:tc>
          <w:tcPr>
            <w:tcW w:w="3227" w:type="dxa"/>
            <w:gridSpan w:val="2"/>
            <w:vAlign w:val="center"/>
          </w:tcPr>
          <w:p w14:paraId="6D92E193" w14:textId="01365659" w:rsidR="007D6BFF" w:rsidRDefault="007D6BF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微软雅黑"/>
                <w:b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 w:val="0"/>
                <w:sz w:val="20"/>
                <w:szCs w:val="20"/>
              </w:rPr>
              <w:t>20000元/每人</w:t>
            </w:r>
          </w:p>
        </w:tc>
      </w:tr>
    </w:tbl>
    <w:p w14:paraId="7E074621" w14:textId="77777777" w:rsidR="000112D7" w:rsidRDefault="00771A80">
      <w:pPr>
        <w:pStyle w:val="a9"/>
        <w:autoSpaceDE w:val="0"/>
        <w:autoSpaceDN w:val="0"/>
        <w:adjustRightInd w:val="0"/>
        <w:spacing w:line="240" w:lineRule="exact"/>
        <w:ind w:firstLineChars="0" w:firstLine="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</w:p>
    <w:p w14:paraId="781A53D3" w14:textId="77777777" w:rsidR="000112D7" w:rsidRDefault="00771A80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进修步骤：</w:t>
      </w:r>
    </w:p>
    <w:p w14:paraId="3064C81D" w14:textId="63A3C51A" w:rsidR="000112D7" w:rsidRDefault="00771A80">
      <w:pPr>
        <w:spacing w:line="360" w:lineRule="exact"/>
        <w:rPr>
          <w:rFonts w:ascii="微软雅黑" w:eastAsia="微软雅黑" w:hAnsi="微软雅黑"/>
          <w:b/>
          <w:sz w:val="24"/>
          <w:szCs w:val="22"/>
        </w:rPr>
      </w:pPr>
      <w:r>
        <w:rPr>
          <w:rFonts w:ascii="微软雅黑" w:eastAsia="微软雅黑" w:hAnsi="微软雅黑" w:hint="eastAsia"/>
          <w:b/>
          <w:sz w:val="24"/>
          <w:szCs w:val="22"/>
        </w:rPr>
        <w:t>（</w:t>
      </w:r>
      <w:r w:rsidR="003E54F0">
        <w:rPr>
          <w:rFonts w:ascii="微软雅黑" w:eastAsia="微软雅黑" w:hAnsi="微软雅黑"/>
          <w:b/>
          <w:sz w:val="24"/>
          <w:szCs w:val="22"/>
        </w:rPr>
        <w:t>1</w:t>
      </w:r>
      <w:r>
        <w:rPr>
          <w:rFonts w:ascii="微软雅黑" w:eastAsia="微软雅黑" w:hAnsi="微软雅黑" w:hint="eastAsia"/>
          <w:b/>
          <w:sz w:val="24"/>
          <w:szCs w:val="22"/>
        </w:rPr>
        <w:t>）</w:t>
      </w:r>
      <w:r w:rsidR="004D72CF">
        <w:rPr>
          <w:rFonts w:ascii="微软雅黑" w:eastAsia="微软雅黑" w:hAnsi="微软雅黑" w:hint="eastAsia"/>
          <w:b/>
          <w:sz w:val="24"/>
          <w:szCs w:val="22"/>
        </w:rPr>
        <w:t>下载</w:t>
      </w:r>
      <w:r>
        <w:rPr>
          <w:rFonts w:ascii="微软雅黑" w:eastAsia="微软雅黑" w:hAnsi="微软雅黑" w:hint="eastAsia"/>
          <w:b/>
          <w:sz w:val="24"/>
          <w:szCs w:val="22"/>
        </w:rPr>
        <w:t>“进修申请表”</w:t>
      </w:r>
    </w:p>
    <w:p w14:paraId="68D762AB" w14:textId="2280A33F" w:rsidR="000112D7" w:rsidRDefault="00771A80">
      <w:pPr>
        <w:spacing w:line="360" w:lineRule="exact"/>
        <w:rPr>
          <w:rStyle w:val="a8"/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4"/>
          <w:szCs w:val="22"/>
        </w:rPr>
        <w:t>（</w:t>
      </w:r>
      <w:r w:rsidR="003E54F0">
        <w:rPr>
          <w:rFonts w:ascii="微软雅黑" w:eastAsia="微软雅黑" w:hAnsi="微软雅黑"/>
          <w:b/>
          <w:sz w:val="24"/>
          <w:szCs w:val="22"/>
        </w:rPr>
        <w:t>2</w:t>
      </w:r>
      <w:r>
        <w:rPr>
          <w:rFonts w:ascii="微软雅黑" w:eastAsia="微软雅黑" w:hAnsi="微软雅黑" w:hint="eastAsia"/>
          <w:b/>
          <w:sz w:val="24"/>
          <w:szCs w:val="22"/>
        </w:rPr>
        <w:t>）盖章后的“进修申请表PDF版”</w:t>
      </w:r>
      <w:r w:rsidR="004D72CF">
        <w:rPr>
          <w:rFonts w:ascii="微软雅黑" w:eastAsia="微软雅黑" w:hAnsi="微软雅黑" w:hint="eastAsia"/>
          <w:b/>
          <w:sz w:val="24"/>
          <w:szCs w:val="22"/>
        </w:rPr>
        <w:t>（含：医师资格证书、医师执业证书、身份证）</w:t>
      </w:r>
      <w:r>
        <w:rPr>
          <w:rFonts w:ascii="微软雅黑" w:eastAsia="微软雅黑" w:hAnsi="微软雅黑" w:hint="eastAsia"/>
          <w:b/>
          <w:sz w:val="24"/>
          <w:szCs w:val="22"/>
        </w:rPr>
        <w:t>上传至：</w:t>
      </w:r>
      <w:r>
        <w:rPr>
          <w:rFonts w:ascii="微软雅黑" w:eastAsia="微软雅黑" w:hAnsi="微软雅黑" w:hint="eastAsia"/>
          <w:sz w:val="22"/>
          <w:szCs w:val="22"/>
        </w:rPr>
        <w:t>邮箱地址：</w:t>
      </w:r>
      <w:hyperlink r:id="rId8" w:history="1">
        <w:r w:rsidR="003E54F0" w:rsidRPr="008867DE">
          <w:rPr>
            <w:rStyle w:val="a8"/>
            <w:rFonts w:ascii="微软雅黑" w:eastAsia="微软雅黑" w:hAnsi="微软雅黑"/>
            <w:sz w:val="22"/>
            <w:szCs w:val="22"/>
          </w:rPr>
          <w:t>tjyyjxsqb</w:t>
        </w:r>
        <w:r w:rsidR="003E54F0" w:rsidRPr="008867DE">
          <w:rPr>
            <w:rStyle w:val="a8"/>
            <w:rFonts w:ascii="微软雅黑" w:eastAsia="微软雅黑" w:hAnsi="微软雅黑" w:hint="eastAsia"/>
            <w:sz w:val="22"/>
            <w:szCs w:val="22"/>
          </w:rPr>
          <w:t>_2</w:t>
        </w:r>
        <w:r w:rsidR="003E54F0" w:rsidRPr="008867DE">
          <w:rPr>
            <w:rStyle w:val="a8"/>
            <w:rFonts w:ascii="微软雅黑" w:eastAsia="微软雅黑" w:hAnsi="微软雅黑"/>
            <w:sz w:val="22"/>
            <w:szCs w:val="22"/>
          </w:rPr>
          <w:t>@163.com</w:t>
        </w:r>
      </w:hyperlink>
    </w:p>
    <w:p w14:paraId="4C459A99" w14:textId="21025B71" w:rsidR="004D72CF" w:rsidRDefault="004D72CF" w:rsidP="004D72CF">
      <w:pPr>
        <w:spacing w:line="360" w:lineRule="exac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4"/>
          <w:szCs w:val="22"/>
        </w:rPr>
        <w:t>（</w:t>
      </w:r>
      <w:r>
        <w:rPr>
          <w:rFonts w:ascii="微软雅黑" w:eastAsia="微软雅黑" w:hAnsi="微软雅黑"/>
          <w:b/>
          <w:sz w:val="24"/>
          <w:szCs w:val="22"/>
        </w:rPr>
        <w:t>3</w:t>
      </w:r>
      <w:r>
        <w:rPr>
          <w:rFonts w:ascii="微软雅黑" w:eastAsia="微软雅黑" w:hAnsi="微软雅黑" w:hint="eastAsia"/>
          <w:b/>
          <w:sz w:val="24"/>
          <w:szCs w:val="22"/>
        </w:rPr>
        <w:t>）“进修通知”下载处：</w:t>
      </w:r>
      <w:r>
        <w:rPr>
          <w:rFonts w:ascii="微软雅黑" w:eastAsia="微软雅黑" w:hAnsi="微软雅黑" w:hint="eastAsia"/>
          <w:sz w:val="22"/>
          <w:szCs w:val="22"/>
        </w:rPr>
        <w:t>邮箱地址：</w:t>
      </w:r>
      <w:hyperlink r:id="rId9" w:history="1">
        <w:r>
          <w:rPr>
            <w:rStyle w:val="a8"/>
            <w:rFonts w:ascii="微软雅黑" w:eastAsia="微软雅黑" w:hAnsi="微软雅黑"/>
            <w:sz w:val="22"/>
            <w:szCs w:val="22"/>
          </w:rPr>
          <w:t>tjyyjxsqb@163.com</w:t>
        </w:r>
      </w:hyperlink>
      <w:r>
        <w:rPr>
          <w:rFonts w:ascii="微软雅黑" w:eastAsia="微软雅黑" w:hAnsi="微软雅黑" w:hint="eastAsia"/>
          <w:sz w:val="22"/>
          <w:szCs w:val="22"/>
        </w:rPr>
        <w:t>登录密码：t</w:t>
      </w:r>
      <w:r>
        <w:rPr>
          <w:rFonts w:ascii="微软雅黑" w:eastAsia="微软雅黑" w:hAnsi="微软雅黑"/>
          <w:sz w:val="22"/>
          <w:szCs w:val="22"/>
        </w:rPr>
        <w:t>jyy12345</w:t>
      </w:r>
    </w:p>
    <w:p w14:paraId="5E1804D8" w14:textId="77777777" w:rsidR="004D72CF" w:rsidRDefault="004D72CF" w:rsidP="004D72CF">
      <w:pPr>
        <w:spacing w:line="360" w:lineRule="exact"/>
        <w:rPr>
          <w:rFonts w:ascii="微软雅黑" w:eastAsia="微软雅黑" w:hAnsi="微软雅黑"/>
          <w:b/>
          <w:sz w:val="24"/>
          <w:szCs w:val="22"/>
        </w:rPr>
      </w:pPr>
    </w:p>
    <w:p w14:paraId="29F12293" w14:textId="77777777" w:rsidR="000112D7" w:rsidRPr="004D72CF" w:rsidRDefault="000112D7">
      <w:pPr>
        <w:spacing w:line="360" w:lineRule="exact"/>
        <w:ind w:left="4400" w:hangingChars="2000" w:hanging="4400"/>
        <w:jc w:val="right"/>
        <w:rPr>
          <w:rFonts w:ascii="微软雅黑" w:eastAsia="微软雅黑" w:hAnsi="微软雅黑"/>
          <w:sz w:val="22"/>
          <w:szCs w:val="22"/>
        </w:rPr>
      </w:pPr>
    </w:p>
    <w:p w14:paraId="22C81CD3" w14:textId="77777777" w:rsidR="000112D7" w:rsidRDefault="00771A80">
      <w:pPr>
        <w:spacing w:line="360" w:lineRule="exact"/>
        <w:ind w:left="4400" w:hangingChars="2000" w:hanging="4400"/>
        <w:jc w:val="righ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上海市同济医院</w:t>
      </w:r>
    </w:p>
    <w:p w14:paraId="72067FB3" w14:textId="77777777" w:rsidR="000112D7" w:rsidRDefault="00771A80">
      <w:pPr>
        <w:spacing w:line="360" w:lineRule="exact"/>
        <w:ind w:left="4400" w:hangingChars="2000" w:hanging="4400"/>
        <w:jc w:val="righ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同济大学附属同济医院</w:t>
      </w:r>
    </w:p>
    <w:sectPr w:rsidR="000112D7" w:rsidSect="004D72CF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C75F" w14:textId="77777777" w:rsidR="00E95A11" w:rsidRDefault="00E95A11" w:rsidP="00111F34">
      <w:r>
        <w:separator/>
      </w:r>
    </w:p>
  </w:endnote>
  <w:endnote w:type="continuationSeparator" w:id="0">
    <w:p w14:paraId="57905BFB" w14:textId="77777777" w:rsidR="00E95A11" w:rsidRDefault="00E95A11" w:rsidP="0011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ڌ墬  Arial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B3C9" w14:textId="77777777" w:rsidR="00E95A11" w:rsidRDefault="00E95A11" w:rsidP="00111F34">
      <w:r>
        <w:separator/>
      </w:r>
    </w:p>
  </w:footnote>
  <w:footnote w:type="continuationSeparator" w:id="0">
    <w:p w14:paraId="3D5637A9" w14:textId="77777777" w:rsidR="00E95A11" w:rsidRDefault="00E95A11" w:rsidP="0011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42DB"/>
    <w:multiLevelType w:val="multilevel"/>
    <w:tmpl w:val="1AA442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6E"/>
    <w:rsid w:val="00004688"/>
    <w:rsid w:val="000112D7"/>
    <w:rsid w:val="00111F34"/>
    <w:rsid w:val="001964B0"/>
    <w:rsid w:val="00262E31"/>
    <w:rsid w:val="002717BF"/>
    <w:rsid w:val="00330BC6"/>
    <w:rsid w:val="003E54F0"/>
    <w:rsid w:val="004062D8"/>
    <w:rsid w:val="0042467B"/>
    <w:rsid w:val="00450AD4"/>
    <w:rsid w:val="004D72CF"/>
    <w:rsid w:val="00544D4E"/>
    <w:rsid w:val="005B716A"/>
    <w:rsid w:val="0075264C"/>
    <w:rsid w:val="00771A80"/>
    <w:rsid w:val="007C14C0"/>
    <w:rsid w:val="007D6BFF"/>
    <w:rsid w:val="00847DCA"/>
    <w:rsid w:val="008D79C4"/>
    <w:rsid w:val="00946F7E"/>
    <w:rsid w:val="00A71488"/>
    <w:rsid w:val="00B12222"/>
    <w:rsid w:val="00B21720"/>
    <w:rsid w:val="00B31D0F"/>
    <w:rsid w:val="00B8126E"/>
    <w:rsid w:val="00C73ABE"/>
    <w:rsid w:val="00E04536"/>
    <w:rsid w:val="00E95A11"/>
    <w:rsid w:val="00FF13A3"/>
    <w:rsid w:val="2C246FF2"/>
    <w:rsid w:val="3EB750BE"/>
    <w:rsid w:val="43775F7A"/>
    <w:rsid w:val="541313E4"/>
    <w:rsid w:val="6B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7739E"/>
  <w15:docId w15:val="{D8CBECD8-C1C4-4D98-9F1C-39A65B7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ڌ墬  Arial" w:eastAsia="ڌ墬  Arial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ڌ墬  Arial" w:eastAsia="ڌ墬  Arial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E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yyjxsqb_2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jyyjxsq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龚嫣</dc:creator>
  <cp:lastModifiedBy>Administrator</cp:lastModifiedBy>
  <cp:revision>16</cp:revision>
  <cp:lastPrinted>2018-11-27T01:52:00Z</cp:lastPrinted>
  <dcterms:created xsi:type="dcterms:W3CDTF">2018-11-26T08:24:00Z</dcterms:created>
  <dcterms:modified xsi:type="dcterms:W3CDTF">2021-04-06T08:34:00Z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